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4236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460688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303320">
              <w:rPr>
                <w:rFonts w:asciiTheme="majorHAnsi" w:eastAsiaTheme="majorEastAsia" w:hAnsiTheme="majorHAnsi" w:cstheme="majorBidi"/>
                <w:sz w:val="36"/>
                <w:szCs w:val="36"/>
              </w:rPr>
              <w:t>7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B74AF8">
              <w:rPr>
                <w:rFonts w:asciiTheme="majorHAnsi" w:eastAsiaTheme="majorEastAsia" w:hAnsiTheme="majorHAnsi" w:cstheme="majorBidi"/>
                <w:sz w:val="36"/>
                <w:szCs w:val="36"/>
              </w:rPr>
              <w:t>Aralık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Default="00AB7627" w:rsidP="002625C7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8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B74AF8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Şubat</w:t>
            </w:r>
            <w:r w:rsidR="002625C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2018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3763D1F0" wp14:editId="0B79B45D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B74AF8" w:rsidP="00AD2065">
      <w:pPr>
        <w:rPr>
          <w:b/>
        </w:rPr>
      </w:pPr>
      <w:r>
        <w:rPr>
          <w:b/>
        </w:rPr>
        <w:t>Aralık</w:t>
      </w:r>
      <w:r w:rsidR="007E6746">
        <w:rPr>
          <w:b/>
        </w:rPr>
        <w:t xml:space="preserve"> </w:t>
      </w:r>
      <w:r w:rsidR="00460688">
        <w:rPr>
          <w:b/>
        </w:rPr>
        <w:t>2017</w:t>
      </w:r>
      <w:r w:rsidR="00EF4E45" w:rsidRPr="00EF4E45">
        <w:rPr>
          <w:b/>
        </w:rPr>
        <w:t xml:space="preserve"> </w:t>
      </w:r>
      <w:r w:rsidR="007B58E6">
        <w:rPr>
          <w:b/>
        </w:rPr>
        <w:t>Sanayi Üretim Endeksi’ne</w:t>
      </w:r>
      <w:r w:rsidR="00EF4E45" w:rsidRPr="00EF4E45">
        <w:rPr>
          <w:b/>
        </w:rPr>
        <w:t xml:space="preserve"> ilişkin veriler Türkiye İstat</w:t>
      </w:r>
      <w:r w:rsidR="007441EB">
        <w:rPr>
          <w:b/>
        </w:rPr>
        <w:t xml:space="preserve">istik Kurumu (TÜİK) tarafından </w:t>
      </w:r>
      <w:r w:rsidR="002625C7">
        <w:rPr>
          <w:b/>
        </w:rPr>
        <w:t>8</w:t>
      </w:r>
      <w:r w:rsidR="00C75496">
        <w:rPr>
          <w:b/>
        </w:rPr>
        <w:t xml:space="preserve"> </w:t>
      </w:r>
      <w:r>
        <w:rPr>
          <w:b/>
        </w:rPr>
        <w:t xml:space="preserve">Şubat </w:t>
      </w:r>
      <w:r w:rsidR="002625C7">
        <w:rPr>
          <w:b/>
        </w:rPr>
        <w:t>2018</w:t>
      </w:r>
      <w:r w:rsidR="00EF4E45" w:rsidRPr="00EF4E45">
        <w:rPr>
          <w:b/>
        </w:rPr>
        <w:t xml:space="preserve"> tarihinde yayımlandı.</w:t>
      </w:r>
    </w:p>
    <w:p w:rsidR="00DF5145" w:rsidRDefault="00EF4E45" w:rsidP="00EF4E45">
      <w:r>
        <w:t xml:space="preserve">TÜİK tarafından aylık yayımlanan </w:t>
      </w:r>
      <w:r w:rsidR="007B58E6" w:rsidRPr="007B58E6">
        <w:t>Sanayi Üretim Endeksi</w:t>
      </w:r>
      <w:r>
        <w:t>,</w:t>
      </w:r>
      <w:r w:rsidR="007B58E6">
        <w:t xml:space="preserve"> Türkiye’deki sanayi kuruluşlarının toplam üretiminin</w:t>
      </w:r>
      <w:r>
        <w:t xml:space="preserve"> zaman içindeki değişim</w:t>
      </w:r>
      <w:r w:rsidR="007B58E6">
        <w:t>i</w:t>
      </w:r>
      <w:r>
        <w:t xml:space="preserve"> hakkında bilgi vermektedir.</w:t>
      </w:r>
      <w:r w:rsidR="00522A6C" w:rsidRPr="00C04441">
        <w:rPr>
          <w:rStyle w:val="DipnotBavurusu"/>
        </w:rPr>
        <w:footnoteReference w:id="1"/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Aylara göre </w:t>
      </w:r>
      <w:r w:rsidR="00FD0F6A" w:rsidRPr="006D330B">
        <w:rPr>
          <w:rFonts w:eastAsia="Times New Roman" w:cs="Times New Roman"/>
          <w:b/>
          <w:bCs/>
          <w:kern w:val="36"/>
          <w:sz w:val="24"/>
          <w:szCs w:val="24"/>
        </w:rPr>
        <w:t>sanayi üretim endeksi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</w:p>
    <w:p w:rsidR="00E7657B" w:rsidRPr="006D330B" w:rsidRDefault="00FD0F6A" w:rsidP="00E7657B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(mevsim ve takvim etkilerinden arındırılmış, 2010=100)</w:t>
      </w:r>
    </w:p>
    <w:p w:rsidR="00FD0F6A" w:rsidRDefault="00D26ADA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>
        <w:rPr>
          <w:noProof/>
        </w:rPr>
        <w:drawing>
          <wp:inline distT="0" distB="0" distL="0" distR="0" wp14:anchorId="2EDD5836" wp14:editId="256924C9">
            <wp:extent cx="5972810" cy="2225040"/>
            <wp:effectExtent l="0" t="0" r="27940" b="2286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44CC" w:rsidRPr="00FE2D1A" w:rsidRDefault="00A05007" w:rsidP="00C144CC">
      <w:pPr>
        <w:jc w:val="both"/>
      </w:pPr>
      <w:r>
        <w:t>Aralık</w:t>
      </w:r>
      <w:r w:rsidR="00574C38" w:rsidRPr="00C144CC">
        <w:t xml:space="preserve"> ayında Türkiye (TR) </w:t>
      </w:r>
      <w:r w:rsidR="00574C38" w:rsidRPr="00C04441">
        <w:t xml:space="preserve">Geneli </w:t>
      </w:r>
      <w:r w:rsidR="007B58E6" w:rsidRPr="00C04441">
        <w:t>Sanayi Üretim Endeksi</w:t>
      </w:r>
      <w:r w:rsidR="00574C38" w:rsidRPr="00C04441">
        <w:t xml:space="preserve"> </w:t>
      </w:r>
      <w:r w:rsidR="00EE2F80">
        <w:rPr>
          <w:b/>
          <w:u w:val="single"/>
        </w:rPr>
        <w:t>bir önceki aya (</w:t>
      </w:r>
      <w:r>
        <w:rPr>
          <w:b/>
          <w:u w:val="single"/>
        </w:rPr>
        <w:t>Kasım</w:t>
      </w:r>
      <w:r w:rsidR="0092656D">
        <w:rPr>
          <w:b/>
          <w:u w:val="single"/>
        </w:rPr>
        <w:t xml:space="preserve"> 2017</w:t>
      </w:r>
      <w:r w:rsidR="00574C38" w:rsidRPr="00FD0F6A">
        <w:rPr>
          <w:b/>
          <w:u w:val="single"/>
        </w:rPr>
        <w:t>) göre</w:t>
      </w:r>
      <w:r w:rsidR="00574C38" w:rsidRPr="00C04441">
        <w:t xml:space="preserve"> yüzde </w:t>
      </w:r>
      <w:r>
        <w:t>0,9</w:t>
      </w:r>
      <w:r w:rsidR="00E7657B">
        <w:t xml:space="preserve"> </w:t>
      </w:r>
      <w:r w:rsidR="00770090">
        <w:t>artı</w:t>
      </w:r>
      <w:r w:rsidR="00E7657B">
        <w:t>ş</w:t>
      </w:r>
      <w:r w:rsidR="00FE2D1A">
        <w:t xml:space="preserve"> </w:t>
      </w:r>
      <w:r w:rsidR="00370B3E">
        <w:t>göst</w:t>
      </w:r>
      <w:r w:rsidR="004B6888">
        <w:t>ermiştir</w:t>
      </w:r>
      <w:r w:rsidR="00574C38" w:rsidRPr="00FE2D1A">
        <w:t xml:space="preserve">. </w:t>
      </w:r>
      <w:r>
        <w:t>Aralık</w:t>
      </w:r>
      <w:r w:rsidR="0092656D">
        <w:t xml:space="preserve"> (2017</w:t>
      </w:r>
      <w:r w:rsidR="00574C38" w:rsidRPr="00FE2D1A">
        <w:t>) ayında</w:t>
      </w:r>
      <w:r w:rsidR="007E6746">
        <w:t xml:space="preserve">ki </w:t>
      </w:r>
      <w:r w:rsidR="00770090">
        <w:t>artışta</w:t>
      </w:r>
      <w:r w:rsidR="00DB1F8E">
        <w:t xml:space="preserve"> </w:t>
      </w:r>
      <w:r w:rsidR="007E6746">
        <w:t xml:space="preserve">bir önceki </w:t>
      </w:r>
      <w:r w:rsidR="0092656D">
        <w:t>aya göre</w:t>
      </w:r>
      <w:r w:rsidR="00DB1F8E">
        <w:t xml:space="preserve"> </w:t>
      </w:r>
      <w:r w:rsidR="00370B3E">
        <w:t xml:space="preserve">madencilik ve </w:t>
      </w:r>
      <w:proofErr w:type="spellStart"/>
      <w:r w:rsidR="00370B3E">
        <w:t>taşo</w:t>
      </w:r>
      <w:r>
        <w:t>c</w:t>
      </w:r>
      <w:r w:rsidR="00B33F14">
        <w:t>akçılığı</w:t>
      </w:r>
      <w:proofErr w:type="spellEnd"/>
      <w:r w:rsidR="00B33F14">
        <w:t xml:space="preserve"> sektöründeki yüzde 2,6’lı</w:t>
      </w:r>
      <w:r w:rsidR="00BF1C98">
        <w:t xml:space="preserve">k </w:t>
      </w:r>
      <w:r w:rsidR="00370B3E">
        <w:t xml:space="preserve">ve </w:t>
      </w:r>
      <w:r w:rsidR="00B33F14">
        <w:t>imalat sanayi sektöründeki yüzde 1,2</w:t>
      </w:r>
      <w:r w:rsidR="00370B3E">
        <w:t xml:space="preserve">’lik </w:t>
      </w:r>
      <w:r w:rsidR="00BF1C98">
        <w:t>artışın etkili olduğu görülmektedir.</w:t>
      </w:r>
      <w:r w:rsidR="003F266E">
        <w:t xml:space="preserve"> </w:t>
      </w:r>
      <w:r w:rsidR="00B33F14">
        <w:t xml:space="preserve">Elektrik, gaz, buhar ve iklimlendirme üretimi ve dağıtımı sektöründe ise bir önceki aya göre yüzde 1,1’lik azalış yaşanmıştır. </w:t>
      </w:r>
    </w:p>
    <w:p w:rsidR="007B58E6" w:rsidRPr="00FE2D1A" w:rsidRDefault="00C04441" w:rsidP="007B58E6">
      <w:pPr>
        <w:jc w:val="both"/>
      </w:pPr>
      <w:r w:rsidRPr="00FE2D1A">
        <w:t>Ana sanayi gruplarına</w:t>
      </w:r>
      <w:r w:rsidR="007B58E6" w:rsidRPr="00FE2D1A">
        <w:t xml:space="preserve"> bakıldığında </w:t>
      </w:r>
      <w:r w:rsidR="0003703C">
        <w:t xml:space="preserve">toplam sanayi endeksindeki </w:t>
      </w:r>
      <w:r w:rsidR="000A2533">
        <w:t>artışta</w:t>
      </w:r>
      <w:r w:rsidR="009E2652">
        <w:t xml:space="preserve"> </w:t>
      </w:r>
      <w:r w:rsidR="00B33F14">
        <w:t xml:space="preserve">dayanıklı tüketim malı, </w:t>
      </w:r>
      <w:r w:rsidR="00D42512">
        <w:t>ara</w:t>
      </w:r>
      <w:r w:rsidRPr="00FE2D1A">
        <w:t xml:space="preserve"> </w:t>
      </w:r>
      <w:r w:rsidR="00BF1C98">
        <w:t>malı</w:t>
      </w:r>
      <w:r w:rsidR="00B33F14">
        <w:t xml:space="preserve">, dayanıksız tüketim malı ve sermaye malında </w:t>
      </w:r>
      <w:r w:rsidR="00736EAB">
        <w:t xml:space="preserve">yaşanan </w:t>
      </w:r>
      <w:r w:rsidR="000A2533">
        <w:t>artışın</w:t>
      </w:r>
      <w:r w:rsidR="007B58E6" w:rsidRPr="00FE2D1A">
        <w:t xml:space="preserve"> etkisi oldu</w:t>
      </w:r>
      <w:r w:rsidR="00FD0F6A" w:rsidRPr="00FE2D1A">
        <w:t>ğu görülmektedir</w:t>
      </w:r>
      <w:r w:rsidR="00521423">
        <w:t xml:space="preserve"> (</w:t>
      </w:r>
      <w:r w:rsidR="00B33F14">
        <w:t>sırasıyla yüzde 1,8’lik, 1,6’lık, 0,7’lik ve 0,6’lık</w:t>
      </w:r>
      <w:r w:rsidR="004B6888">
        <w:t xml:space="preserve"> </w:t>
      </w:r>
      <w:r w:rsidR="000A2533">
        <w:t>artı</w:t>
      </w:r>
      <w:r w:rsidR="009E2652">
        <w:t>ş</w:t>
      </w:r>
      <w:r w:rsidR="00521423">
        <w:t>lar</w:t>
      </w:r>
      <w:r w:rsidR="0003703C">
        <w:t>)</w:t>
      </w:r>
      <w:r w:rsidR="007B58E6" w:rsidRPr="00FE2D1A">
        <w:t>.</w:t>
      </w:r>
    </w:p>
    <w:p w:rsidR="00517288" w:rsidRDefault="00517288" w:rsidP="00517288">
      <w:pPr>
        <w:jc w:val="both"/>
      </w:pPr>
      <w:r w:rsidRPr="008A7788">
        <w:t xml:space="preserve">İmalat sanayinin alt sektörlerinde geçen aya göre </w:t>
      </w:r>
      <w:r w:rsidR="00923FD3" w:rsidRPr="008A7788">
        <w:t xml:space="preserve">en fazla </w:t>
      </w:r>
      <w:r w:rsidR="002D4D88" w:rsidRPr="008A7788">
        <w:t>artış</w:t>
      </w:r>
      <w:r w:rsidR="00923FD3" w:rsidRPr="008A7788">
        <w:t xml:space="preserve"> </w:t>
      </w:r>
      <w:r w:rsidR="008A7788" w:rsidRPr="008A7788">
        <w:t>bilgisayarların, elektronik ve optik ürünlerin imalatı (</w:t>
      </w:r>
      <w:r w:rsidR="00D42512" w:rsidRPr="008A7788">
        <w:t xml:space="preserve">yüzde </w:t>
      </w:r>
      <w:r w:rsidR="008A7788" w:rsidRPr="008A7788">
        <w:t>28,7</w:t>
      </w:r>
      <w:r w:rsidR="00802F1A" w:rsidRPr="008A7788">
        <w:t>) sektöründe gerçekleşti. Bu sektörü</w:t>
      </w:r>
      <w:r w:rsidR="00923FD3" w:rsidRPr="008A7788">
        <w:t>,</w:t>
      </w:r>
      <w:r w:rsidR="008A7788" w:rsidRPr="008A7788">
        <w:t xml:space="preserve"> yüzde 17,4</w:t>
      </w:r>
      <w:r w:rsidR="002D4D88" w:rsidRPr="008A7788">
        <w:t xml:space="preserve"> artış </w:t>
      </w:r>
      <w:r w:rsidR="00521423" w:rsidRPr="008A7788">
        <w:t xml:space="preserve">ile </w:t>
      </w:r>
      <w:r w:rsidR="00BF4755">
        <w:t>m</w:t>
      </w:r>
      <w:r w:rsidR="008A7788" w:rsidRPr="008A7788">
        <w:t xml:space="preserve">akine ve </w:t>
      </w:r>
      <w:proofErr w:type="gramStart"/>
      <w:r w:rsidR="008A7788" w:rsidRPr="008A7788">
        <w:t>ekipmanların</w:t>
      </w:r>
      <w:proofErr w:type="gramEnd"/>
      <w:r w:rsidR="008A7788">
        <w:t xml:space="preserve"> </w:t>
      </w:r>
      <w:r w:rsidR="008A7788" w:rsidRPr="008A7788">
        <w:t xml:space="preserve">kurulumu ve onarımı </w:t>
      </w:r>
      <w:r w:rsidR="00521423" w:rsidRPr="008A7788">
        <w:t xml:space="preserve">takip etti. En fazla </w:t>
      </w:r>
      <w:r w:rsidR="002D4D88" w:rsidRPr="008A7788">
        <w:t xml:space="preserve">azalış </w:t>
      </w:r>
      <w:r w:rsidR="00521423" w:rsidRPr="008A7788">
        <w:t xml:space="preserve">ise yüzde </w:t>
      </w:r>
      <w:r w:rsidR="008A7788" w:rsidRPr="008A7788">
        <w:t>28,8</w:t>
      </w:r>
      <w:r w:rsidR="00643409" w:rsidRPr="008A7788">
        <w:t xml:space="preserve"> ile </w:t>
      </w:r>
      <w:r w:rsidR="008A7788" w:rsidRPr="008A7788">
        <w:t xml:space="preserve">diğer ulaşım araçlarının </w:t>
      </w:r>
      <w:r w:rsidR="00431AD9" w:rsidRPr="008A7788">
        <w:t xml:space="preserve">imalatı </w:t>
      </w:r>
      <w:r w:rsidR="00802F1A" w:rsidRPr="008A7788">
        <w:t>sektöründe</w:t>
      </w:r>
      <w:r w:rsidR="00521423" w:rsidRPr="008A7788">
        <w:t xml:space="preserve"> gerçekleşti.</w:t>
      </w:r>
    </w:p>
    <w:p w:rsidR="00A722F2" w:rsidRDefault="00A722F2" w:rsidP="00160C8F">
      <w:pPr>
        <w:jc w:val="both"/>
      </w:pPr>
    </w:p>
    <w:p w:rsidR="004B6888" w:rsidRDefault="004B6888" w:rsidP="00160C8F">
      <w:pPr>
        <w:jc w:val="both"/>
      </w:pPr>
    </w:p>
    <w:p w:rsidR="002D4D88" w:rsidRDefault="00160C8F" w:rsidP="00160C8F">
      <w:pPr>
        <w:jc w:val="both"/>
      </w:pPr>
      <w:r w:rsidRPr="00756492">
        <w:t xml:space="preserve">Endeks </w:t>
      </w:r>
      <w:r w:rsidRPr="00756492">
        <w:rPr>
          <w:b/>
          <w:u w:val="single"/>
        </w:rPr>
        <w:t>bir önceki yılın aynı ayına göre</w:t>
      </w:r>
      <w:r w:rsidRPr="00756492">
        <w:t xml:space="preserve"> yüzde </w:t>
      </w:r>
      <w:r w:rsidR="0057513F">
        <w:t>8,7</w:t>
      </w:r>
      <w:r w:rsidR="002D4D88">
        <w:t xml:space="preserve"> </w:t>
      </w:r>
      <w:r w:rsidRPr="00756492">
        <w:t xml:space="preserve">oranında </w:t>
      </w:r>
      <w:r w:rsidR="00756492">
        <w:t xml:space="preserve">artış </w:t>
      </w:r>
      <w:r w:rsidRPr="00756492">
        <w:t xml:space="preserve">göstermiştir. </w:t>
      </w:r>
      <w:r w:rsidR="0057513F">
        <w:t>Aralık</w:t>
      </w:r>
      <w:r w:rsidR="009D3086">
        <w:t xml:space="preserve"> (2017</w:t>
      </w:r>
      <w:r w:rsidRPr="00756492">
        <w:t xml:space="preserve">) ayında önceki yıla göre ana sanayi </w:t>
      </w:r>
      <w:r w:rsidR="00C04441" w:rsidRPr="00756492">
        <w:t>sektörleri</w:t>
      </w:r>
      <w:r w:rsidRPr="00756492">
        <w:t xml:space="preserve"> itibariyle en yüksek artış </w:t>
      </w:r>
      <w:r w:rsidR="0057513F">
        <w:t>yüzde 14,0</w:t>
      </w:r>
      <w:r w:rsidR="005A54BA">
        <w:t xml:space="preserve"> ile </w:t>
      </w:r>
      <w:r w:rsidR="0057513F">
        <w:t xml:space="preserve">madencilik ve </w:t>
      </w:r>
      <w:proofErr w:type="spellStart"/>
      <w:r w:rsidR="0057513F">
        <w:t>taşocakçılığı</w:t>
      </w:r>
      <w:proofErr w:type="spellEnd"/>
      <w:r w:rsidR="0057513F">
        <w:t xml:space="preserve"> sektöründe </w:t>
      </w:r>
      <w:r w:rsidR="002D4D88">
        <w:t>gerçekleşti. B</w:t>
      </w:r>
      <w:r w:rsidR="00DA15C9">
        <w:t xml:space="preserve">u sektörü, </w:t>
      </w:r>
      <w:r w:rsidRPr="00756492">
        <w:t xml:space="preserve"> </w:t>
      </w:r>
      <w:r w:rsidR="00DA15C9">
        <w:t xml:space="preserve">yüzde 8,9 artışla imalat sanayi ve </w:t>
      </w:r>
      <w:r w:rsidR="005A54BA" w:rsidRPr="00756492">
        <w:t xml:space="preserve">yüzde </w:t>
      </w:r>
      <w:r w:rsidR="00DA15C9">
        <w:t xml:space="preserve">5,7 artışla </w:t>
      </w:r>
      <w:r w:rsidR="005A54BA" w:rsidRPr="00756492">
        <w:t>elektrik, gaz, buhar ve iklimlendirme üretimi ve dağıtımı</w:t>
      </w:r>
      <w:r w:rsidR="004B6888">
        <w:t xml:space="preserve"> </w:t>
      </w:r>
      <w:r w:rsidR="002D4D88">
        <w:t>sektörleri</w:t>
      </w:r>
      <w:r w:rsidR="00A0036E">
        <w:t xml:space="preserve"> </w:t>
      </w:r>
      <w:r w:rsidR="009D3086">
        <w:t>takip etti.</w:t>
      </w:r>
      <w:r w:rsidR="006E77D7">
        <w:t xml:space="preserve"> </w:t>
      </w:r>
    </w:p>
    <w:p w:rsidR="00160C8F" w:rsidRPr="004D5C8C" w:rsidRDefault="00C04441" w:rsidP="00160C8F">
      <w:pPr>
        <w:jc w:val="both"/>
      </w:pPr>
      <w:r w:rsidRPr="004D5C8C">
        <w:t>Ana sanayi gruplarına</w:t>
      </w:r>
      <w:r w:rsidR="00160C8F" w:rsidRPr="004D5C8C">
        <w:t xml:space="preserve"> bakıldığında</w:t>
      </w:r>
      <w:r w:rsidR="00D72BD4">
        <w:t>,</w:t>
      </w:r>
      <w:r w:rsidRPr="004D5C8C">
        <w:t xml:space="preserve"> </w:t>
      </w:r>
      <w:r w:rsidR="00DA15C9">
        <w:t xml:space="preserve">ara malı imalatında yüzde 13,9’luk, </w:t>
      </w:r>
      <w:r w:rsidR="000449DE">
        <w:t>sermaye</w:t>
      </w:r>
      <w:r w:rsidR="00062D7C">
        <w:t xml:space="preserve"> malı imalatında yüzde </w:t>
      </w:r>
      <w:r w:rsidR="00DA15C9">
        <w:t>10,7’li</w:t>
      </w:r>
      <w:r w:rsidR="00321B60">
        <w:t>k</w:t>
      </w:r>
      <w:r w:rsidR="009D3086">
        <w:t>,</w:t>
      </w:r>
      <w:r w:rsidR="002D4D88">
        <w:t xml:space="preserve"> </w:t>
      </w:r>
      <w:r w:rsidR="004B6888">
        <w:t>dayanıksız t</w:t>
      </w:r>
      <w:r w:rsidR="00DA15C9">
        <w:t xml:space="preserve">üketim malı imalatında yüzde 5,4’lük, </w:t>
      </w:r>
      <w:r w:rsidR="00A50B41">
        <w:t xml:space="preserve">enerji </w:t>
      </w:r>
      <w:r w:rsidR="00DA15C9">
        <w:t>imalatında yüzde 2,9</w:t>
      </w:r>
      <w:r w:rsidR="009D3086">
        <w:t>’</w:t>
      </w:r>
      <w:r w:rsidR="00DA15C9">
        <w:t>lu</w:t>
      </w:r>
      <w:r w:rsidR="002D4D88">
        <w:t>k</w:t>
      </w:r>
      <w:r w:rsidR="004B6888">
        <w:t xml:space="preserve"> </w:t>
      </w:r>
      <w:r w:rsidR="00DA15C9">
        <w:t xml:space="preserve">ve dayanıklı tüketim malı imalatında yüzde 0,1’lik </w:t>
      </w:r>
      <w:r w:rsidR="004B6888">
        <w:t xml:space="preserve">artış yaşandığı görülmektedir. </w:t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2: </w:t>
      </w:r>
      <w:r w:rsidR="00FD0F6A"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Yıllara göre </w:t>
      </w:r>
      <w:r w:rsidR="009858B1">
        <w:rPr>
          <w:rFonts w:eastAsia="Times New Roman" w:cs="Times New Roman"/>
          <w:b/>
          <w:bCs/>
          <w:kern w:val="36"/>
          <w:sz w:val="24"/>
          <w:szCs w:val="24"/>
        </w:rPr>
        <w:t>Aralık</w:t>
      </w:r>
      <w:r w:rsidR="00FD0F6A"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 ayları itibariyle sanayi üretim endeksi </w:t>
      </w:r>
    </w:p>
    <w:p w:rsidR="00ED46EA" w:rsidRPr="004D5C8C" w:rsidRDefault="00FD0F6A" w:rsidP="00CF56CB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>(takvim etkisinden arındırılmış, 2010=100)</w:t>
      </w:r>
    </w:p>
    <w:p w:rsidR="00FD0F6A" w:rsidRPr="00CF56CB" w:rsidRDefault="009858B1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  <w:r>
        <w:rPr>
          <w:noProof/>
        </w:rPr>
        <w:drawing>
          <wp:inline distT="0" distB="0" distL="0" distR="0" wp14:anchorId="0955DC42" wp14:editId="299E1EC9">
            <wp:extent cx="5343525" cy="2381250"/>
            <wp:effectExtent l="0" t="0" r="9525" b="1905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10"/>
        <w:gridCol w:w="2153"/>
        <w:gridCol w:w="2067"/>
      </w:tblGrid>
      <w:tr w:rsidR="00160C8F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246284">
            <w:pPr>
              <w:jc w:val="both"/>
            </w:pPr>
            <w:r w:rsidRPr="004D5C8C">
              <w:rPr>
                <w:b/>
              </w:rPr>
              <w:t xml:space="preserve">Tablo 1: Sanayi Üretim Endeksi Büyüme Oranları,  </w:t>
            </w:r>
            <w:r w:rsidR="00246284">
              <w:rPr>
                <w:b/>
              </w:rPr>
              <w:t>Aralık</w:t>
            </w:r>
            <w:r w:rsidR="00ED46EA">
              <w:rPr>
                <w:b/>
              </w:rPr>
              <w:t xml:space="preserve"> 2017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Aya Göre</w:t>
            </w:r>
            <w:r w:rsidR="00923FD3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Yıla Göre</w:t>
            </w:r>
            <w:r w:rsidR="00923FD3" w:rsidRPr="004D5C8C">
              <w:t xml:space="preserve"> (%)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Ara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</w:pPr>
            <w:r>
              <w:t>1,6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</w:pPr>
            <w:r>
              <w:t>13,9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Dayanıklı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</w:pPr>
            <w:r>
              <w:t>1,8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</w:pPr>
            <w:r>
              <w:t>0,1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Dayanıksız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</w:pPr>
            <w:r>
              <w:t>0,7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</w:pPr>
            <w:r>
              <w:t>5,4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Enerji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</w:pPr>
            <w:r>
              <w:t>-0,2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</w:pPr>
            <w:r>
              <w:t>2,9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Sermaye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</w:pPr>
            <w:r>
              <w:t>0,6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</w:pPr>
            <w:r>
              <w:t>10,7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9858B1" w:rsidP="00D42512">
            <w:pPr>
              <w:jc w:val="center"/>
              <w:rPr>
                <w:b/>
              </w:rPr>
            </w:pPr>
            <w:r>
              <w:rPr>
                <w:b/>
              </w:rPr>
              <w:t>8,7</w:t>
            </w:r>
          </w:p>
        </w:tc>
      </w:tr>
      <w:tr w:rsidR="0043515F" w:rsidRPr="004D5C8C" w:rsidTr="0043515F">
        <w:trPr>
          <w:trHeight w:val="264"/>
        </w:trPr>
        <w:tc>
          <w:tcPr>
            <w:tcW w:w="4110" w:type="dxa"/>
            <w:shd w:val="clear" w:color="auto" w:fill="7F7F7F" w:themeFill="text1" w:themeFillTint="80"/>
            <w:noWrap/>
            <w:hideMark/>
          </w:tcPr>
          <w:p w:rsidR="0043515F" w:rsidRPr="004D5C8C" w:rsidRDefault="0043515F" w:rsidP="004D5C8C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7F7F7F" w:themeFill="text1" w:themeFillTint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  <w:tc>
          <w:tcPr>
            <w:tcW w:w="2067" w:type="dxa"/>
            <w:shd w:val="clear" w:color="auto" w:fill="7F7F7F" w:themeFill="text1" w:themeFillTint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</w:tr>
      <w:tr w:rsidR="00160C8F" w:rsidRPr="004D5C8C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E7657B" w:rsidP="00246284">
            <w:pPr>
              <w:jc w:val="both"/>
            </w:pPr>
            <w:r>
              <w:rPr>
                <w:b/>
              </w:rPr>
              <w:t xml:space="preserve">Tablo 2: Sanayi Üretim Endeksi </w:t>
            </w:r>
            <w:proofErr w:type="spellStart"/>
            <w:r w:rsidR="00160C8F" w:rsidRPr="004D5C8C">
              <w:rPr>
                <w:b/>
              </w:rPr>
              <w:t>Sektörel</w:t>
            </w:r>
            <w:proofErr w:type="spellEnd"/>
            <w:r w:rsidR="00160C8F" w:rsidRPr="004D5C8C">
              <w:rPr>
                <w:b/>
              </w:rPr>
              <w:t xml:space="preserve"> Büyüme Oranları, </w:t>
            </w:r>
            <w:r w:rsidR="00246284">
              <w:rPr>
                <w:b/>
              </w:rPr>
              <w:t>Aralık</w:t>
            </w:r>
            <w:r w:rsidR="00ED46EA">
              <w:rPr>
                <w:b/>
              </w:rPr>
              <w:t xml:space="preserve"> 2017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Aya Göre</w:t>
            </w:r>
            <w:r w:rsidR="008A575D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Yıla Göre</w:t>
            </w:r>
            <w:r w:rsidR="008A575D" w:rsidRPr="004D5C8C">
              <w:t xml:space="preserve"> (%)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r w:rsidRPr="004D5C8C">
              <w:t>Madencilik ve Taşocakçılığı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9858B1" w:rsidP="00D42512">
            <w:pPr>
              <w:jc w:val="center"/>
            </w:pPr>
            <w:r>
              <w:t>2,6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9858B1" w:rsidP="00D42512">
            <w:pPr>
              <w:jc w:val="center"/>
            </w:pPr>
            <w:r>
              <w:t>14,0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İmalat Sanayi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9858B1" w:rsidP="00D42512">
            <w:pPr>
              <w:jc w:val="center"/>
            </w:pPr>
            <w:r>
              <w:t>1,2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9858B1" w:rsidP="00D42512">
            <w:pPr>
              <w:jc w:val="center"/>
            </w:pPr>
            <w:r>
              <w:t>8,9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Elektrik, Gaz, Buhar ve İklimlendirme Üretimi ve Dağıtımı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9858B1" w:rsidP="00D42512">
            <w:pPr>
              <w:jc w:val="center"/>
            </w:pPr>
            <w:r>
              <w:t>-1,1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9858B1" w:rsidP="00D42512">
            <w:pPr>
              <w:jc w:val="center"/>
            </w:pPr>
            <w:r>
              <w:t>5</w:t>
            </w:r>
            <w:r w:rsidR="00D0085D">
              <w:t>,7</w:t>
            </w:r>
          </w:p>
        </w:tc>
      </w:tr>
      <w:tr w:rsidR="00160C8F" w:rsidRPr="00160C8F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316F1D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9858B1" w:rsidP="00D42512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24CC0" w:rsidRDefault="009858B1" w:rsidP="00D42512">
            <w:pPr>
              <w:jc w:val="center"/>
              <w:rPr>
                <w:b/>
              </w:rPr>
            </w:pPr>
            <w:r>
              <w:rPr>
                <w:b/>
              </w:rPr>
              <w:t>8,7</w:t>
            </w:r>
          </w:p>
        </w:tc>
      </w:tr>
    </w:tbl>
    <w:p w:rsidR="00160C8F" w:rsidRDefault="00160C8F" w:rsidP="00FE2D1A">
      <w:pPr>
        <w:jc w:val="both"/>
      </w:pPr>
    </w:p>
    <w:sectPr w:rsidR="00160C8F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8E" w:rsidRDefault="00407D8E" w:rsidP="00C04441">
      <w:pPr>
        <w:spacing w:after="0" w:line="240" w:lineRule="auto"/>
      </w:pPr>
      <w:r>
        <w:separator/>
      </w:r>
    </w:p>
  </w:endnote>
  <w:endnote w:type="continuationSeparator" w:id="0">
    <w:p w:rsidR="00407D8E" w:rsidRDefault="00407D8E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8E" w:rsidRDefault="00407D8E" w:rsidP="00C04441">
      <w:pPr>
        <w:spacing w:after="0" w:line="240" w:lineRule="auto"/>
      </w:pPr>
      <w:r>
        <w:separator/>
      </w:r>
    </w:p>
  </w:footnote>
  <w:footnote w:type="continuationSeparator" w:id="0">
    <w:p w:rsidR="00407D8E" w:rsidRDefault="00407D8E" w:rsidP="00C04441">
      <w:pPr>
        <w:spacing w:after="0" w:line="240" w:lineRule="auto"/>
      </w:pPr>
      <w:r>
        <w:continuationSeparator/>
      </w:r>
    </w:p>
  </w:footnote>
  <w:footnote w:id="1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  <w:r w:rsidR="0046068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55"/>
    <w:rsid w:val="0003703C"/>
    <w:rsid w:val="000449DE"/>
    <w:rsid w:val="00062D7C"/>
    <w:rsid w:val="000701FD"/>
    <w:rsid w:val="00070A53"/>
    <w:rsid w:val="000A2533"/>
    <w:rsid w:val="000B7EA9"/>
    <w:rsid w:val="000D18BE"/>
    <w:rsid w:val="00112C0F"/>
    <w:rsid w:val="00114EEB"/>
    <w:rsid w:val="001243A0"/>
    <w:rsid w:val="00135340"/>
    <w:rsid w:val="00151BD3"/>
    <w:rsid w:val="00160C8F"/>
    <w:rsid w:val="0017212E"/>
    <w:rsid w:val="0019156C"/>
    <w:rsid w:val="001A1146"/>
    <w:rsid w:val="001C74F4"/>
    <w:rsid w:val="001D08EA"/>
    <w:rsid w:val="001E11A2"/>
    <w:rsid w:val="001E5A63"/>
    <w:rsid w:val="001F7633"/>
    <w:rsid w:val="0021363C"/>
    <w:rsid w:val="002145C8"/>
    <w:rsid w:val="00233BD5"/>
    <w:rsid w:val="00246284"/>
    <w:rsid w:val="002625C7"/>
    <w:rsid w:val="0028186A"/>
    <w:rsid w:val="002B2CC6"/>
    <w:rsid w:val="002B53E4"/>
    <w:rsid w:val="002C70D2"/>
    <w:rsid w:val="002D3E19"/>
    <w:rsid w:val="002D4D88"/>
    <w:rsid w:val="002D5594"/>
    <w:rsid w:val="00303320"/>
    <w:rsid w:val="00317C4E"/>
    <w:rsid w:val="00321B60"/>
    <w:rsid w:val="00350144"/>
    <w:rsid w:val="00351561"/>
    <w:rsid w:val="00354CE2"/>
    <w:rsid w:val="00357954"/>
    <w:rsid w:val="003641B3"/>
    <w:rsid w:val="00370B3E"/>
    <w:rsid w:val="003733E7"/>
    <w:rsid w:val="003A5037"/>
    <w:rsid w:val="003A57CB"/>
    <w:rsid w:val="003D2889"/>
    <w:rsid w:val="003F266E"/>
    <w:rsid w:val="003F2715"/>
    <w:rsid w:val="00407D8E"/>
    <w:rsid w:val="00407EC9"/>
    <w:rsid w:val="00424CC0"/>
    <w:rsid w:val="00431AD9"/>
    <w:rsid w:val="00432DF5"/>
    <w:rsid w:val="0043515F"/>
    <w:rsid w:val="00460688"/>
    <w:rsid w:val="004641F9"/>
    <w:rsid w:val="00492DFF"/>
    <w:rsid w:val="004B6888"/>
    <w:rsid w:val="004D5C8C"/>
    <w:rsid w:val="00517288"/>
    <w:rsid w:val="00521423"/>
    <w:rsid w:val="00522A6C"/>
    <w:rsid w:val="005405F5"/>
    <w:rsid w:val="00544D61"/>
    <w:rsid w:val="00561558"/>
    <w:rsid w:val="00574C38"/>
    <w:rsid w:val="0057513F"/>
    <w:rsid w:val="005758F2"/>
    <w:rsid w:val="0059020E"/>
    <w:rsid w:val="005A54BA"/>
    <w:rsid w:val="005B2B26"/>
    <w:rsid w:val="005C53F8"/>
    <w:rsid w:val="006020BD"/>
    <w:rsid w:val="00625E9B"/>
    <w:rsid w:val="00640824"/>
    <w:rsid w:val="00643409"/>
    <w:rsid w:val="00677B0D"/>
    <w:rsid w:val="00685E8C"/>
    <w:rsid w:val="006B6AEA"/>
    <w:rsid w:val="006D41B5"/>
    <w:rsid w:val="006E77D7"/>
    <w:rsid w:val="0070186C"/>
    <w:rsid w:val="00716E35"/>
    <w:rsid w:val="00731B2B"/>
    <w:rsid w:val="007330A1"/>
    <w:rsid w:val="00736EAB"/>
    <w:rsid w:val="007441EB"/>
    <w:rsid w:val="00756492"/>
    <w:rsid w:val="00770090"/>
    <w:rsid w:val="007700BF"/>
    <w:rsid w:val="007736BE"/>
    <w:rsid w:val="007A6AB2"/>
    <w:rsid w:val="007B58E6"/>
    <w:rsid w:val="007E6746"/>
    <w:rsid w:val="00802F1A"/>
    <w:rsid w:val="008A575D"/>
    <w:rsid w:val="008A7788"/>
    <w:rsid w:val="008C2C15"/>
    <w:rsid w:val="008C7F9E"/>
    <w:rsid w:val="008D1077"/>
    <w:rsid w:val="00907E0D"/>
    <w:rsid w:val="00923FD3"/>
    <w:rsid w:val="0092656D"/>
    <w:rsid w:val="00935B34"/>
    <w:rsid w:val="009858B1"/>
    <w:rsid w:val="009A6E86"/>
    <w:rsid w:val="009D3086"/>
    <w:rsid w:val="009E2652"/>
    <w:rsid w:val="009E756B"/>
    <w:rsid w:val="009F0A83"/>
    <w:rsid w:val="009F54F1"/>
    <w:rsid w:val="00A0036E"/>
    <w:rsid w:val="00A05007"/>
    <w:rsid w:val="00A50B41"/>
    <w:rsid w:val="00A705F6"/>
    <w:rsid w:val="00A722F2"/>
    <w:rsid w:val="00A77365"/>
    <w:rsid w:val="00A83FD3"/>
    <w:rsid w:val="00A8528D"/>
    <w:rsid w:val="00AB7627"/>
    <w:rsid w:val="00AD2065"/>
    <w:rsid w:val="00B0776B"/>
    <w:rsid w:val="00B2786A"/>
    <w:rsid w:val="00B33F14"/>
    <w:rsid w:val="00B4315C"/>
    <w:rsid w:val="00B55EB8"/>
    <w:rsid w:val="00B74AF8"/>
    <w:rsid w:val="00B84FE9"/>
    <w:rsid w:val="00B86368"/>
    <w:rsid w:val="00B8689F"/>
    <w:rsid w:val="00B94EA9"/>
    <w:rsid w:val="00B96B22"/>
    <w:rsid w:val="00BA000A"/>
    <w:rsid w:val="00BC294E"/>
    <w:rsid w:val="00BC5F10"/>
    <w:rsid w:val="00BF1C98"/>
    <w:rsid w:val="00BF4755"/>
    <w:rsid w:val="00C04441"/>
    <w:rsid w:val="00C144CC"/>
    <w:rsid w:val="00C21D8B"/>
    <w:rsid w:val="00C73ED9"/>
    <w:rsid w:val="00C75496"/>
    <w:rsid w:val="00C97AFA"/>
    <w:rsid w:val="00CC7D5F"/>
    <w:rsid w:val="00CE4BAC"/>
    <w:rsid w:val="00CF56CB"/>
    <w:rsid w:val="00D0085D"/>
    <w:rsid w:val="00D21190"/>
    <w:rsid w:val="00D2299D"/>
    <w:rsid w:val="00D23355"/>
    <w:rsid w:val="00D26126"/>
    <w:rsid w:val="00D26ADA"/>
    <w:rsid w:val="00D42512"/>
    <w:rsid w:val="00D60CCE"/>
    <w:rsid w:val="00D72BD4"/>
    <w:rsid w:val="00D930AD"/>
    <w:rsid w:val="00DA15C9"/>
    <w:rsid w:val="00DB1389"/>
    <w:rsid w:val="00DB1F8E"/>
    <w:rsid w:val="00DC5FDC"/>
    <w:rsid w:val="00DE7934"/>
    <w:rsid w:val="00E46DD4"/>
    <w:rsid w:val="00E7657B"/>
    <w:rsid w:val="00EC4AA2"/>
    <w:rsid w:val="00ED4544"/>
    <w:rsid w:val="00ED46EA"/>
    <w:rsid w:val="00EE0B38"/>
    <w:rsid w:val="00EE2F80"/>
    <w:rsid w:val="00EE565C"/>
    <w:rsid w:val="00EE5ABD"/>
    <w:rsid w:val="00EF4E45"/>
    <w:rsid w:val="00EF621F"/>
    <w:rsid w:val="00F061D6"/>
    <w:rsid w:val="00F111FE"/>
    <w:rsid w:val="00F5758A"/>
    <w:rsid w:val="00FD0F6A"/>
    <w:rsid w:val="00FE2D1A"/>
    <w:rsid w:val="00FE7D5C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05B40A-2EF7-4DC7-A923-FAC6D1A9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masa&#252;st&#252;\ENDEKS%20VE%20B&#220;LTENLER\Sanayi%20&#220;retim%20Endeksi\12.Aral&#305;k.2017\S&#220;E_Aral&#305;k.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masa&#252;st&#252;\ENDEKS%20VE%20B&#220;LTENLER\Sanayi%20&#220;retim%20Endeksi\12.Aral&#305;k.2017\S&#220;E_Aral&#305;k.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'mevsim ve takvim'!$A$2</c:f>
              <c:strCache>
                <c:ptCount val="1"/>
                <c:pt idx="0">
                  <c:v>2016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takvim'!$B$2:$M$2</c:f>
              <c:numCache>
                <c:formatCode>0.0</c:formatCode>
                <c:ptCount val="12"/>
                <c:pt idx="0">
                  <c:v>126.90435166693233</c:v>
                </c:pt>
                <c:pt idx="1">
                  <c:v>128.2868238152821</c:v>
                </c:pt>
                <c:pt idx="2">
                  <c:v>127.53157747422661</c:v>
                </c:pt>
                <c:pt idx="3">
                  <c:v>125.55009198489917</c:v>
                </c:pt>
                <c:pt idx="4">
                  <c:v>127.61195750385484</c:v>
                </c:pt>
                <c:pt idx="5">
                  <c:v>126.84636385985773</c:v>
                </c:pt>
                <c:pt idx="6">
                  <c:v>117.73891537289614</c:v>
                </c:pt>
                <c:pt idx="7">
                  <c:v>128.26555476380446</c:v>
                </c:pt>
                <c:pt idx="8">
                  <c:v>123.2941279816262</c:v>
                </c:pt>
                <c:pt idx="9">
                  <c:v>127.98553577134346</c:v>
                </c:pt>
                <c:pt idx="10">
                  <c:v>128.18331738704524</c:v>
                </c:pt>
                <c:pt idx="11">
                  <c:v>127.95709707894248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'mevsim ve takvim'!$A$3</c:f>
              <c:strCache>
                <c:ptCount val="1"/>
                <c:pt idx="0">
                  <c:v>2017</c:v>
                </c:pt>
              </c:strCache>
            </c:strRef>
          </c:tx>
          <c:marker>
            <c:symbol val="none"/>
          </c:marker>
          <c:dLbls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873221216041367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takvim'!$B$3:$M$3</c:f>
              <c:numCache>
                <c:formatCode>0.0</c:formatCode>
                <c:ptCount val="12"/>
                <c:pt idx="0">
                  <c:v>129.98409414298575</c:v>
                </c:pt>
                <c:pt idx="1">
                  <c:v>129.53204307700241</c:v>
                </c:pt>
                <c:pt idx="2">
                  <c:v>131.35323942969302</c:v>
                </c:pt>
                <c:pt idx="3">
                  <c:v>134.34815446496225</c:v>
                </c:pt>
                <c:pt idx="4">
                  <c:v>132.28554722664424</c:v>
                </c:pt>
                <c:pt idx="5">
                  <c:v>132.14864615504123</c:v>
                </c:pt>
                <c:pt idx="6">
                  <c:v>135.28116640951598</c:v>
                </c:pt>
                <c:pt idx="7">
                  <c:v>135.33984871806769</c:v>
                </c:pt>
                <c:pt idx="8">
                  <c:v>136.09008712676004</c:v>
                </c:pt>
                <c:pt idx="9">
                  <c:v>137.27778447209471</c:v>
                </c:pt>
                <c:pt idx="10">
                  <c:v>137.58078135629876</c:v>
                </c:pt>
                <c:pt idx="11">
                  <c:v>138.86251943063189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9645024"/>
        <c:axId val="159652096"/>
      </c:lineChart>
      <c:catAx>
        <c:axId val="159645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9652096"/>
        <c:crosses val="autoZero"/>
        <c:auto val="1"/>
        <c:lblAlgn val="ctr"/>
        <c:lblOffset val="100"/>
        <c:noMultiLvlLbl val="0"/>
      </c:catAx>
      <c:valAx>
        <c:axId val="15965209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59645024"/>
        <c:crosses val="autoZero"/>
        <c:crossBetween val="between"/>
        <c:majorUnit val="5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takvim!$B$9:$E$9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takvim!$B$10:$E$10</c:f>
              <c:numCache>
                <c:formatCode>0.0</c:formatCode>
                <c:ptCount val="4"/>
                <c:pt idx="0">
                  <c:v>126.79570770961278</c:v>
                </c:pt>
                <c:pt idx="1">
                  <c:v>132.62159599733315</c:v>
                </c:pt>
                <c:pt idx="2">
                  <c:v>134.69158965710048</c:v>
                </c:pt>
                <c:pt idx="3">
                  <c:v>146.444607229486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9652640"/>
        <c:axId val="159653728"/>
      </c:lineChart>
      <c:catAx>
        <c:axId val="159652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9653728"/>
        <c:crosses val="autoZero"/>
        <c:auto val="1"/>
        <c:lblAlgn val="ctr"/>
        <c:lblOffset val="100"/>
        <c:noMultiLvlLbl val="0"/>
      </c:catAx>
      <c:valAx>
        <c:axId val="15965372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15965264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F82FF-0F24-4BCE-8739-EF0150E3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Ebru Aricioglu</cp:lastModifiedBy>
  <cp:revision>2</cp:revision>
  <cp:lastPrinted>2018-02-08T10:17:00Z</cp:lastPrinted>
  <dcterms:created xsi:type="dcterms:W3CDTF">2018-02-09T13:22:00Z</dcterms:created>
  <dcterms:modified xsi:type="dcterms:W3CDTF">2018-02-09T13:22:00Z</dcterms:modified>
</cp:coreProperties>
</file>